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r w:rsidRPr="00FE52D2">
        <w:rPr>
          <w:rFonts w:ascii="Times New Roman" w:hAnsi="Times New Roman" w:cs="Times New Roman"/>
          <w:sz w:val="24"/>
          <w:szCs w:val="24"/>
        </w:rPr>
        <w:t>Legal Healthcare Management.</w:t>
      </w:r>
    </w:p>
    <w:p w:rsidR="00FE52D2" w:rsidRPr="00FE52D2" w:rsidRDefault="00FE52D2" w:rsidP="00FE52D2">
      <w:pPr>
        <w:spacing w:line="480" w:lineRule="auto"/>
        <w:ind w:firstLine="720"/>
        <w:jc w:val="center"/>
        <w:rPr>
          <w:rFonts w:ascii="Times New Roman" w:hAnsi="Times New Roman" w:cs="Times New Roman"/>
          <w:sz w:val="24"/>
          <w:szCs w:val="24"/>
        </w:rPr>
      </w:pPr>
      <w:r w:rsidRPr="00FE52D2">
        <w:rPr>
          <w:rFonts w:ascii="Times New Roman" w:hAnsi="Times New Roman" w:cs="Times New Roman"/>
          <w:sz w:val="24"/>
          <w:szCs w:val="24"/>
        </w:rPr>
        <w:t>Name.</w:t>
      </w:r>
    </w:p>
    <w:p w:rsidR="00FE52D2" w:rsidRPr="00FE52D2" w:rsidRDefault="00FE52D2" w:rsidP="00FE52D2">
      <w:pPr>
        <w:spacing w:line="480" w:lineRule="auto"/>
        <w:ind w:firstLine="720"/>
        <w:jc w:val="center"/>
        <w:rPr>
          <w:rFonts w:ascii="Times New Roman" w:hAnsi="Times New Roman" w:cs="Times New Roman"/>
          <w:sz w:val="24"/>
          <w:szCs w:val="24"/>
        </w:rPr>
      </w:pPr>
      <w:r w:rsidRPr="00FE52D2">
        <w:rPr>
          <w:rFonts w:ascii="Times New Roman" w:hAnsi="Times New Roman" w:cs="Times New Roman"/>
          <w:sz w:val="24"/>
          <w:szCs w:val="24"/>
        </w:rPr>
        <w:t>Institution.</w:t>
      </w:r>
    </w:p>
    <w:p w:rsidR="00FE52D2" w:rsidRPr="00FE52D2" w:rsidRDefault="00FE52D2" w:rsidP="00FE52D2">
      <w:pPr>
        <w:spacing w:line="480" w:lineRule="auto"/>
        <w:ind w:firstLine="720"/>
        <w:jc w:val="center"/>
        <w:rPr>
          <w:rFonts w:ascii="Times New Roman" w:hAnsi="Times New Roman" w:cs="Times New Roman"/>
          <w:sz w:val="24"/>
          <w:szCs w:val="24"/>
        </w:rPr>
      </w:pPr>
      <w:r w:rsidRPr="00FE52D2">
        <w:rPr>
          <w:rFonts w:ascii="Times New Roman" w:hAnsi="Times New Roman" w:cs="Times New Roman"/>
          <w:sz w:val="24"/>
          <w:szCs w:val="24"/>
        </w:rPr>
        <w:t>Date.</w:t>
      </w: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FE52D2" w:rsidRPr="00FE52D2" w:rsidRDefault="00FE52D2" w:rsidP="00FE52D2">
      <w:pPr>
        <w:spacing w:line="480" w:lineRule="auto"/>
        <w:ind w:firstLine="720"/>
        <w:jc w:val="center"/>
        <w:rPr>
          <w:rFonts w:ascii="Times New Roman" w:hAnsi="Times New Roman" w:cs="Times New Roman"/>
          <w:sz w:val="24"/>
          <w:szCs w:val="24"/>
        </w:rPr>
      </w:pPr>
    </w:p>
    <w:p w:rsidR="00716130" w:rsidRPr="00FE52D2" w:rsidRDefault="00716130" w:rsidP="00FE52D2">
      <w:pPr>
        <w:spacing w:line="480" w:lineRule="auto"/>
        <w:ind w:firstLine="720"/>
        <w:jc w:val="center"/>
        <w:rPr>
          <w:rFonts w:ascii="Times New Roman" w:hAnsi="Times New Roman" w:cs="Times New Roman"/>
          <w:sz w:val="24"/>
          <w:szCs w:val="24"/>
        </w:rPr>
      </w:pPr>
      <w:r w:rsidRPr="00FE52D2">
        <w:rPr>
          <w:rFonts w:ascii="Times New Roman" w:hAnsi="Times New Roman" w:cs="Times New Roman"/>
          <w:sz w:val="24"/>
          <w:szCs w:val="24"/>
        </w:rPr>
        <w:lastRenderedPageBreak/>
        <w:t>Legal Healthcare Management.</w:t>
      </w:r>
    </w:p>
    <w:p w:rsidR="00716130" w:rsidRPr="00FE52D2" w:rsidRDefault="00716130" w:rsidP="00FE52D2">
      <w:pPr>
        <w:spacing w:line="480" w:lineRule="auto"/>
        <w:ind w:firstLine="720"/>
        <w:rPr>
          <w:rFonts w:ascii="Times New Roman" w:hAnsi="Times New Roman" w:cs="Times New Roman"/>
          <w:sz w:val="24"/>
          <w:szCs w:val="24"/>
        </w:rPr>
      </w:pPr>
      <w:r w:rsidRPr="00FE52D2">
        <w:rPr>
          <w:rFonts w:ascii="Times New Roman" w:hAnsi="Times New Roman" w:cs="Times New Roman"/>
          <w:sz w:val="24"/>
          <w:szCs w:val="24"/>
        </w:rPr>
        <w:t xml:space="preserve">Legal Healthcare Management is one of the contemporary topics that seeks to restore and maintain the wellness of the healthcare industry today. The approach seeks to ensure that all legal requirements in the healthcare setting are well adhered and that justice prevails to both healthcare providers and the patients. In this regard, I chose the court case "Havrum v. United States" on page 107 of the book “Legal Aspects of Health Care Administration" by Pozgar &amp; Santucci, (2016). The court case presents a common healthcare problem that is facing our populations today in the healthcare industry. It also sheds light on the fact that negligence is still a common challenge in the healthcare sector that is jeopardizing the lives of innocent patients. I found it amazing that accurate legal enforcement is still required in the healthcare industry to ensure that justice has gained predominance in all care settings. </w:t>
      </w:r>
    </w:p>
    <w:p w:rsidR="00716130" w:rsidRPr="00FE52D2" w:rsidRDefault="00716130" w:rsidP="00FE52D2">
      <w:pPr>
        <w:spacing w:line="480" w:lineRule="auto"/>
        <w:ind w:firstLine="720"/>
        <w:rPr>
          <w:rFonts w:ascii="Times New Roman" w:hAnsi="Times New Roman" w:cs="Times New Roman"/>
          <w:sz w:val="24"/>
          <w:szCs w:val="24"/>
        </w:rPr>
      </w:pPr>
      <w:r w:rsidRPr="00FE52D2">
        <w:rPr>
          <w:rFonts w:ascii="Times New Roman" w:hAnsi="Times New Roman" w:cs="Times New Roman"/>
          <w:sz w:val="24"/>
          <w:szCs w:val="24"/>
        </w:rPr>
        <w:t>Briefly, in the case "H</w:t>
      </w:r>
      <w:r w:rsidR="00473A02">
        <w:rPr>
          <w:rFonts w:ascii="Times New Roman" w:hAnsi="Times New Roman" w:cs="Times New Roman"/>
          <w:sz w:val="24"/>
          <w:szCs w:val="24"/>
        </w:rPr>
        <w:t xml:space="preserve">avrum v. United States" </w:t>
      </w:r>
      <w:r w:rsidRPr="00FE52D2">
        <w:rPr>
          <w:rFonts w:ascii="Times New Roman" w:hAnsi="Times New Roman" w:cs="Times New Roman"/>
          <w:sz w:val="24"/>
          <w:szCs w:val="24"/>
        </w:rPr>
        <w:t>nurses at the Veterans Administration (VA) Hospital are faced with alleg</w:t>
      </w:r>
      <w:r w:rsidR="00473A02">
        <w:rPr>
          <w:rFonts w:ascii="Times New Roman" w:hAnsi="Times New Roman" w:cs="Times New Roman"/>
          <w:sz w:val="24"/>
          <w:szCs w:val="24"/>
        </w:rPr>
        <w:t xml:space="preserve">ed acts of negligence .These acts are </w:t>
      </w:r>
      <w:r w:rsidRPr="00FE52D2">
        <w:rPr>
          <w:rFonts w:ascii="Times New Roman" w:hAnsi="Times New Roman" w:cs="Times New Roman"/>
          <w:sz w:val="24"/>
          <w:szCs w:val="24"/>
        </w:rPr>
        <w:t>defined in relation with the Missouri Law. Ms. Havrum claims that the nurses at VA hospital had an obligation to protect Mr. Havrum from chronic injury and hence the failure to perform the duty facilitated his death. After a bench trial, the trial court then declared that nurses at the VA Hospital killed veteran Elzie Havrum (Pozgar &amp; Santucci, 2016). The court ordered the U.S government to compensate for Mr. Havrum’s wife for the resulting damages based on the assertion that the hospital was quite negligent to safeguard her husband from the nurse. However, the government challenged the sufficiency of the evidence. The content from this case is very sensitive, and this strengthened my interests in it.</w:t>
      </w:r>
    </w:p>
    <w:p w:rsidR="00716130" w:rsidRPr="00FE52D2" w:rsidRDefault="00716130" w:rsidP="00FE52D2">
      <w:pPr>
        <w:spacing w:line="480" w:lineRule="auto"/>
        <w:ind w:firstLine="720"/>
        <w:rPr>
          <w:rFonts w:ascii="Times New Roman" w:hAnsi="Times New Roman" w:cs="Times New Roman"/>
          <w:sz w:val="24"/>
          <w:szCs w:val="24"/>
        </w:rPr>
      </w:pPr>
      <w:r w:rsidRPr="00FE52D2">
        <w:rPr>
          <w:rFonts w:ascii="Times New Roman" w:hAnsi="Times New Roman" w:cs="Times New Roman"/>
          <w:sz w:val="24"/>
          <w:szCs w:val="24"/>
        </w:rPr>
        <w:lastRenderedPageBreak/>
        <w:t>According to my understanding of the case, I</w:t>
      </w:r>
      <w:r w:rsidR="00473A02">
        <w:rPr>
          <w:rFonts w:ascii="Times New Roman" w:hAnsi="Times New Roman" w:cs="Times New Roman"/>
          <w:sz w:val="24"/>
          <w:szCs w:val="24"/>
        </w:rPr>
        <w:t xml:space="preserve"> believe that the cased has many </w:t>
      </w:r>
      <w:r w:rsidRPr="00FE52D2">
        <w:rPr>
          <w:rFonts w:ascii="Times New Roman" w:hAnsi="Times New Roman" w:cs="Times New Roman"/>
          <w:sz w:val="24"/>
          <w:szCs w:val="24"/>
        </w:rPr>
        <w:t>benefits to healthcare than harm</w:t>
      </w:r>
      <w:r w:rsidR="00473A02">
        <w:rPr>
          <w:rFonts w:ascii="Times New Roman" w:hAnsi="Times New Roman" w:cs="Times New Roman"/>
          <w:sz w:val="24"/>
          <w:szCs w:val="24"/>
        </w:rPr>
        <w:t>s. The case has</w:t>
      </w:r>
      <w:r w:rsidRPr="00FE52D2">
        <w:rPr>
          <w:rFonts w:ascii="Times New Roman" w:hAnsi="Times New Roman" w:cs="Times New Roman"/>
          <w:sz w:val="24"/>
          <w:szCs w:val="24"/>
        </w:rPr>
        <w:t xml:space="preserve"> highly integrated multiple fields in healthcare such as technology, nursing education, insurance, ethics and professionalism among other factors; and hence, it is the basis of the multiple changes in the healthcare. From my perspective, the court case seems to find it difficult to establish justice for Mr. Havrum and his family; a factor which the government seems to hesitate in admitting the truth (Pozgar &amp; Santucci, 2016). The concept has facilitated a technical pursuit of public health and social justice. This has impacted the national leader by motivating them in training healthcare policymakers and managers as well as the Department of Health Law to help the nursing students develop the desired expertise and tools that they need to meet as well as challenges facing healthcare system. The case has facilitated the provision of competency-based education programs that seek for a total concentration of the health law faculty and courses; factors which are likely to transcribe to reduced injustice in healthcare. </w:t>
      </w:r>
    </w:p>
    <w:p w:rsidR="00716130" w:rsidRPr="00FE52D2" w:rsidRDefault="00716130" w:rsidP="00FE52D2">
      <w:pPr>
        <w:spacing w:line="480" w:lineRule="auto"/>
        <w:ind w:firstLine="720"/>
        <w:rPr>
          <w:rFonts w:ascii="Times New Roman" w:hAnsi="Times New Roman" w:cs="Times New Roman"/>
          <w:sz w:val="24"/>
          <w:szCs w:val="24"/>
        </w:rPr>
      </w:pPr>
      <w:r w:rsidRPr="00FE52D2">
        <w:rPr>
          <w:rFonts w:ascii="Times New Roman" w:hAnsi="Times New Roman" w:cs="Times New Roman"/>
          <w:sz w:val="24"/>
          <w:szCs w:val="24"/>
        </w:rPr>
        <w:t xml:space="preserve">Reflecting on this case, the Legal Healthcare Management through Health Law, Policy, and Management (HLPM) has been keen in ensuring quality improvement in the healthcare by analyzing current Medicare and Medicaid policy, revising the drug policy and regulation and evaluating prejudiced variations in patient’s care (Gray &amp; Vawda, 2017). Reflecting on the case, Mr. Williams administered a lethal dose of codeine to Mr. Havrum; and he then disregards the evidence of codeine that killed the patient. This justifies that a lot of emphases was needed to enhance for growing patient’s safety in a care setting. From another perspective, the court case “Havrum v. United States” has impacted doctors, nurses and hospitals integrative by putting much emphasis on the issue of technology in healthcare. Critiques from the case have often asserted that supposed the VA Hospital had installed technically integrated health facilities, Mr. </w:t>
      </w:r>
      <w:r w:rsidRPr="00FE52D2">
        <w:rPr>
          <w:rFonts w:ascii="Times New Roman" w:hAnsi="Times New Roman" w:cs="Times New Roman"/>
          <w:sz w:val="24"/>
          <w:szCs w:val="24"/>
        </w:rPr>
        <w:lastRenderedPageBreak/>
        <w:t>Williams could not have afforded the chance to admit the lethal dose. This assertion has kept medical officers, technicians and researchers on toes to inventive research and hence leading to the invention of technically complex machines which could suitably complement the health law and patient’s safety regulations as well (Mikula et al., 2018). In reflection on the case, I think it has been mandatory for every healthcare institution to adopt the infusion pump machines on the bedside in care settings. Bearing in mind that Mr. Havrum died from the administration of the wrong drug, this machine has been valued as an ideal solution to the prevalence of such problems. The machine would help nurses to administer the correct drug by showing the correct medical prescription and hinder nurses from changing dosage prescriptions. Again, the eGlass machine has also been invented to increase patient’s safety by monitoring the actual nurse’s interactions with patients in the actual care setting.</w:t>
      </w:r>
    </w:p>
    <w:p w:rsidR="00716130" w:rsidRPr="00FE52D2" w:rsidRDefault="00716130" w:rsidP="00FE52D2">
      <w:pPr>
        <w:spacing w:line="480" w:lineRule="auto"/>
        <w:ind w:firstLine="720"/>
        <w:rPr>
          <w:rFonts w:ascii="Times New Roman" w:hAnsi="Times New Roman" w:cs="Times New Roman"/>
          <w:sz w:val="24"/>
          <w:szCs w:val="24"/>
        </w:rPr>
      </w:pPr>
      <w:r w:rsidRPr="00FE52D2">
        <w:rPr>
          <w:rFonts w:ascii="Times New Roman" w:hAnsi="Times New Roman" w:cs="Times New Roman"/>
          <w:sz w:val="24"/>
          <w:szCs w:val="24"/>
        </w:rPr>
        <w:t>The case has also impacted nurses and doctors through the attached debates and enactments. It has led to high minded discussions on ethics and professionalism; a factor which has necessitated the collective training of doctors and nurses from an ethical perspective. It had been noted that Mr. Havrum was seriously ill and he needed acute intensive care yet the physician did not bother to take the patient in intensive care. This implied that Mr. Williams was not responsive to the patient’s condition and hence he lacked ethics in his professional practices. In this setting, the provider’s education has been highly integrated with ethics to enrich the legality of their actions.</w:t>
      </w:r>
    </w:p>
    <w:p w:rsidR="00716130" w:rsidRPr="00FE52D2" w:rsidRDefault="00716130" w:rsidP="00FE52D2">
      <w:pPr>
        <w:spacing w:line="480" w:lineRule="auto"/>
        <w:ind w:firstLine="720"/>
        <w:rPr>
          <w:rFonts w:ascii="Times New Roman" w:hAnsi="Times New Roman" w:cs="Times New Roman"/>
          <w:sz w:val="24"/>
          <w:szCs w:val="24"/>
        </w:rPr>
      </w:pPr>
      <w:r w:rsidRPr="00FE52D2">
        <w:rPr>
          <w:rFonts w:ascii="Times New Roman" w:hAnsi="Times New Roman" w:cs="Times New Roman"/>
          <w:sz w:val="24"/>
          <w:szCs w:val="24"/>
        </w:rPr>
        <w:t xml:space="preserve">In the context of the trial, the government defended that the court only used hearsay statements to find causation. This has laid the foundation for the establishment of Electronic Medical Records to provide the evidence-based conclusion of future healthcare cases. Based on Mr. Havrum’s unanticipated death, the legal health managers in conjunction with quality </w:t>
      </w:r>
      <w:r w:rsidRPr="00FE52D2">
        <w:rPr>
          <w:rFonts w:ascii="Times New Roman" w:hAnsi="Times New Roman" w:cs="Times New Roman"/>
          <w:sz w:val="24"/>
          <w:szCs w:val="24"/>
        </w:rPr>
        <w:lastRenderedPageBreak/>
        <w:t xml:space="preserve">improvement managers have joined efforts to reduce costs of medication through insurance and minimize death in care settings by training nurses and ensuring close supervision. More significantly, the government has been forced to enact legal actions and regulations that safeguard both the healthcare provider and patient. </w:t>
      </w:r>
    </w:p>
    <w:p w:rsidR="00716130" w:rsidRPr="00FE52D2" w:rsidRDefault="00716130" w:rsidP="00FE52D2">
      <w:pPr>
        <w:spacing w:line="480" w:lineRule="auto"/>
        <w:ind w:firstLine="720"/>
        <w:rPr>
          <w:rFonts w:ascii="Times New Roman" w:hAnsi="Times New Roman" w:cs="Times New Roman"/>
          <w:sz w:val="24"/>
          <w:szCs w:val="24"/>
        </w:rPr>
      </w:pPr>
      <w:r w:rsidRPr="00FE52D2">
        <w:rPr>
          <w:rFonts w:ascii="Times New Roman" w:hAnsi="Times New Roman" w:cs="Times New Roman"/>
          <w:sz w:val="24"/>
          <w:szCs w:val="24"/>
        </w:rPr>
        <w:t>In conclusion, I found this case study quite authoritative, and hence I support the decision. It has been admitted that th</w:t>
      </w:r>
      <w:r w:rsidR="00473A02">
        <w:rPr>
          <w:rFonts w:ascii="Times New Roman" w:hAnsi="Times New Roman" w:cs="Times New Roman"/>
          <w:sz w:val="24"/>
          <w:szCs w:val="24"/>
        </w:rPr>
        <w:t>e patient was seriously ill and</w:t>
      </w:r>
      <w:r w:rsidRPr="00FE52D2">
        <w:rPr>
          <w:rFonts w:ascii="Times New Roman" w:hAnsi="Times New Roman" w:cs="Times New Roman"/>
          <w:sz w:val="24"/>
          <w:szCs w:val="24"/>
        </w:rPr>
        <w:t xml:space="preserve"> needed intensive care to recover. Instead of care, the care provider worsened the situation by administering a lethal dose of codeine; a factor which was quite inhumane and unethical. Justice did not prevail to the patient at that time. The main intent of supporting the decision is that justice is very core in care provision and hence justice it was needed to stand still with Mrs. Havrum and her family by compensating all the damages. Mandatory compensation also set a pace for the government to enact punitive measures to health care providers to minimize future incidences of intended killing in the care setting. </w:t>
      </w:r>
    </w:p>
    <w:p w:rsidR="00FE52D2" w:rsidRDefault="00FE52D2" w:rsidP="00FE52D2">
      <w:pPr>
        <w:spacing w:line="480" w:lineRule="auto"/>
        <w:jc w:val="center"/>
        <w:rPr>
          <w:rFonts w:ascii="Times New Roman" w:hAnsi="Times New Roman" w:cs="Times New Roman"/>
          <w:sz w:val="24"/>
          <w:szCs w:val="24"/>
        </w:rPr>
      </w:pPr>
    </w:p>
    <w:p w:rsidR="00FE52D2" w:rsidRDefault="00FE52D2" w:rsidP="00FE52D2">
      <w:pPr>
        <w:spacing w:line="480" w:lineRule="auto"/>
        <w:jc w:val="center"/>
        <w:rPr>
          <w:rFonts w:ascii="Times New Roman" w:hAnsi="Times New Roman" w:cs="Times New Roman"/>
          <w:sz w:val="24"/>
          <w:szCs w:val="24"/>
        </w:rPr>
      </w:pPr>
    </w:p>
    <w:p w:rsidR="00FE52D2" w:rsidRDefault="00FE52D2" w:rsidP="00FE52D2">
      <w:pPr>
        <w:spacing w:line="480" w:lineRule="auto"/>
        <w:jc w:val="center"/>
        <w:rPr>
          <w:rFonts w:ascii="Times New Roman" w:hAnsi="Times New Roman" w:cs="Times New Roman"/>
          <w:sz w:val="24"/>
          <w:szCs w:val="24"/>
        </w:rPr>
      </w:pPr>
    </w:p>
    <w:p w:rsidR="00FE52D2" w:rsidRDefault="00FE52D2" w:rsidP="00FE52D2">
      <w:pPr>
        <w:spacing w:line="480" w:lineRule="auto"/>
        <w:jc w:val="center"/>
        <w:rPr>
          <w:rFonts w:ascii="Times New Roman" w:hAnsi="Times New Roman" w:cs="Times New Roman"/>
          <w:sz w:val="24"/>
          <w:szCs w:val="24"/>
        </w:rPr>
      </w:pPr>
    </w:p>
    <w:p w:rsidR="00FE52D2" w:rsidRDefault="00FE52D2" w:rsidP="00FE52D2">
      <w:pPr>
        <w:spacing w:line="480" w:lineRule="auto"/>
        <w:jc w:val="center"/>
        <w:rPr>
          <w:rFonts w:ascii="Times New Roman" w:hAnsi="Times New Roman" w:cs="Times New Roman"/>
          <w:sz w:val="24"/>
          <w:szCs w:val="24"/>
        </w:rPr>
      </w:pPr>
    </w:p>
    <w:p w:rsidR="00FE52D2" w:rsidRDefault="00FE52D2" w:rsidP="00FE52D2">
      <w:pPr>
        <w:spacing w:line="480" w:lineRule="auto"/>
        <w:jc w:val="center"/>
        <w:rPr>
          <w:rFonts w:ascii="Times New Roman" w:hAnsi="Times New Roman" w:cs="Times New Roman"/>
          <w:sz w:val="24"/>
          <w:szCs w:val="24"/>
        </w:rPr>
      </w:pPr>
    </w:p>
    <w:p w:rsidR="00FE52D2" w:rsidRDefault="00FE52D2" w:rsidP="00FE52D2">
      <w:pPr>
        <w:spacing w:line="480" w:lineRule="auto"/>
        <w:jc w:val="center"/>
        <w:rPr>
          <w:rFonts w:ascii="Times New Roman" w:hAnsi="Times New Roman" w:cs="Times New Roman"/>
          <w:sz w:val="24"/>
          <w:szCs w:val="24"/>
        </w:rPr>
      </w:pPr>
    </w:p>
    <w:p w:rsidR="00EE0DD3" w:rsidRPr="00FE52D2" w:rsidRDefault="00EE0DD3" w:rsidP="00FE52D2">
      <w:pPr>
        <w:spacing w:line="480" w:lineRule="auto"/>
        <w:jc w:val="center"/>
        <w:rPr>
          <w:rFonts w:ascii="Times New Roman" w:hAnsi="Times New Roman" w:cs="Times New Roman"/>
          <w:sz w:val="24"/>
          <w:szCs w:val="24"/>
        </w:rPr>
      </w:pPr>
      <w:r w:rsidRPr="00FE52D2">
        <w:rPr>
          <w:rFonts w:ascii="Times New Roman" w:hAnsi="Times New Roman" w:cs="Times New Roman"/>
          <w:sz w:val="24"/>
          <w:szCs w:val="24"/>
        </w:rPr>
        <w:lastRenderedPageBreak/>
        <w:t>References.</w:t>
      </w:r>
    </w:p>
    <w:p w:rsidR="00716130" w:rsidRPr="00FE52D2" w:rsidRDefault="00716130" w:rsidP="00FE52D2">
      <w:pPr>
        <w:spacing w:line="480" w:lineRule="auto"/>
        <w:ind w:left="720" w:hanging="720"/>
        <w:rPr>
          <w:rFonts w:ascii="Times New Roman" w:hAnsi="Times New Roman" w:cs="Times New Roman"/>
          <w:color w:val="222222"/>
          <w:sz w:val="24"/>
          <w:szCs w:val="24"/>
          <w:shd w:val="clear" w:color="auto" w:fill="FFFFFF"/>
        </w:rPr>
      </w:pPr>
      <w:r w:rsidRPr="00FE52D2">
        <w:rPr>
          <w:rFonts w:ascii="Times New Roman" w:hAnsi="Times New Roman" w:cs="Times New Roman"/>
          <w:color w:val="222222"/>
          <w:sz w:val="24"/>
          <w:szCs w:val="24"/>
          <w:shd w:val="clear" w:color="auto" w:fill="FFFFFF"/>
        </w:rPr>
        <w:t>Gray, A., &amp; Vawda, Y. (2017). Health policy and legislation. </w:t>
      </w:r>
      <w:r w:rsidRPr="00FE52D2">
        <w:rPr>
          <w:rFonts w:ascii="Times New Roman" w:hAnsi="Times New Roman" w:cs="Times New Roman"/>
          <w:i/>
          <w:iCs/>
          <w:color w:val="222222"/>
          <w:sz w:val="24"/>
          <w:szCs w:val="24"/>
          <w:shd w:val="clear" w:color="auto" w:fill="FFFFFF"/>
        </w:rPr>
        <w:t>South African Health Review</w:t>
      </w:r>
      <w:r w:rsidRPr="00FE52D2">
        <w:rPr>
          <w:rFonts w:ascii="Times New Roman" w:hAnsi="Times New Roman" w:cs="Times New Roman"/>
          <w:color w:val="222222"/>
          <w:sz w:val="24"/>
          <w:szCs w:val="24"/>
          <w:shd w:val="clear" w:color="auto" w:fill="FFFFFF"/>
        </w:rPr>
        <w:t>, </w:t>
      </w:r>
      <w:r w:rsidRPr="00FE52D2">
        <w:rPr>
          <w:rFonts w:ascii="Times New Roman" w:hAnsi="Times New Roman" w:cs="Times New Roman"/>
          <w:i/>
          <w:iCs/>
          <w:color w:val="222222"/>
          <w:sz w:val="24"/>
          <w:szCs w:val="24"/>
          <w:shd w:val="clear" w:color="auto" w:fill="FFFFFF"/>
        </w:rPr>
        <w:t>2017</w:t>
      </w:r>
      <w:r w:rsidRPr="00FE52D2">
        <w:rPr>
          <w:rFonts w:ascii="Times New Roman" w:hAnsi="Times New Roman" w:cs="Times New Roman"/>
          <w:color w:val="222222"/>
          <w:sz w:val="24"/>
          <w:szCs w:val="24"/>
          <w:shd w:val="clear" w:color="auto" w:fill="FFFFFF"/>
        </w:rPr>
        <w:t>(1), 13-24.</w:t>
      </w:r>
    </w:p>
    <w:p w:rsidR="00716130" w:rsidRPr="00FE52D2" w:rsidRDefault="00716130" w:rsidP="00FE52D2">
      <w:pPr>
        <w:spacing w:line="480" w:lineRule="auto"/>
        <w:ind w:left="720" w:hanging="720"/>
        <w:rPr>
          <w:rFonts w:ascii="Times New Roman" w:hAnsi="Times New Roman" w:cs="Times New Roman"/>
          <w:color w:val="222222"/>
          <w:sz w:val="24"/>
          <w:szCs w:val="24"/>
          <w:shd w:val="clear" w:color="auto" w:fill="FFFFFF"/>
        </w:rPr>
      </w:pPr>
      <w:r w:rsidRPr="00FE52D2">
        <w:rPr>
          <w:rFonts w:ascii="Times New Roman" w:hAnsi="Times New Roman" w:cs="Times New Roman"/>
          <w:color w:val="222222"/>
          <w:sz w:val="24"/>
          <w:szCs w:val="24"/>
          <w:shd w:val="clear" w:color="auto" w:fill="FFFFFF"/>
        </w:rPr>
        <w:t>Mikula, A. V., Abraham, S., &amp; Townshend, G. (2018). </w:t>
      </w:r>
      <w:r w:rsidRPr="00FE52D2">
        <w:rPr>
          <w:rFonts w:ascii="Times New Roman" w:hAnsi="Times New Roman" w:cs="Times New Roman"/>
          <w:i/>
          <w:iCs/>
          <w:color w:val="222222"/>
          <w:sz w:val="24"/>
          <w:szCs w:val="24"/>
          <w:shd w:val="clear" w:color="auto" w:fill="FFFFFF"/>
        </w:rPr>
        <w:t>Health care law: a practical guide</w:t>
      </w:r>
      <w:r w:rsidRPr="00FE52D2">
        <w:rPr>
          <w:rFonts w:ascii="Times New Roman" w:hAnsi="Times New Roman" w:cs="Times New Roman"/>
          <w:color w:val="222222"/>
          <w:sz w:val="24"/>
          <w:szCs w:val="24"/>
          <w:shd w:val="clear" w:color="auto" w:fill="FFFFFF"/>
        </w:rPr>
        <w:t>. LexisNexis.</w:t>
      </w:r>
    </w:p>
    <w:p w:rsidR="00716130" w:rsidRPr="00FE52D2" w:rsidRDefault="00716130" w:rsidP="00FE52D2">
      <w:pPr>
        <w:spacing w:line="480" w:lineRule="auto"/>
        <w:ind w:left="720" w:hanging="720"/>
        <w:rPr>
          <w:rFonts w:ascii="Times New Roman" w:hAnsi="Times New Roman" w:cs="Times New Roman"/>
          <w:sz w:val="24"/>
          <w:szCs w:val="24"/>
        </w:rPr>
      </w:pPr>
      <w:r w:rsidRPr="00FE52D2">
        <w:rPr>
          <w:rFonts w:ascii="Times New Roman" w:hAnsi="Times New Roman" w:cs="Times New Roman"/>
          <w:color w:val="000000"/>
          <w:sz w:val="24"/>
          <w:szCs w:val="24"/>
          <w:shd w:val="clear" w:color="auto" w:fill="FFFFFF"/>
        </w:rPr>
        <w:t>Pozgar, G. D., &amp; Santucci, N. M. (2016). </w:t>
      </w:r>
      <w:r w:rsidRPr="00FE52D2">
        <w:rPr>
          <w:rFonts w:ascii="Times New Roman" w:hAnsi="Times New Roman" w:cs="Times New Roman"/>
          <w:i/>
          <w:iCs/>
          <w:color w:val="000000"/>
          <w:sz w:val="24"/>
          <w:szCs w:val="24"/>
          <w:shd w:val="clear" w:color="auto" w:fill="FFFFFF"/>
        </w:rPr>
        <w:t>Legal aspects of health care administration</w:t>
      </w:r>
      <w:r w:rsidRPr="00FE52D2">
        <w:rPr>
          <w:rFonts w:ascii="Times New Roman" w:hAnsi="Times New Roman" w:cs="Times New Roman"/>
          <w:color w:val="000000"/>
          <w:sz w:val="24"/>
          <w:szCs w:val="24"/>
          <w:shd w:val="clear" w:color="auto" w:fill="FFFFFF"/>
        </w:rPr>
        <w:t>. Burlington (Ma.: Jones &amp; Bartlett Learning.</w:t>
      </w:r>
      <w:bookmarkStart w:id="0" w:name="_GoBack"/>
      <w:bookmarkEnd w:id="0"/>
    </w:p>
    <w:sectPr w:rsidR="00716130" w:rsidRPr="00FE52D2" w:rsidSect="00FE52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672" w:rsidRDefault="00007672" w:rsidP="00FE52D2">
      <w:pPr>
        <w:spacing w:after="0" w:line="240" w:lineRule="auto"/>
      </w:pPr>
      <w:r>
        <w:separator/>
      </w:r>
    </w:p>
  </w:endnote>
  <w:endnote w:type="continuationSeparator" w:id="1">
    <w:p w:rsidR="00007672" w:rsidRDefault="00007672" w:rsidP="00FE52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672" w:rsidRDefault="00007672" w:rsidP="00FE52D2">
      <w:pPr>
        <w:spacing w:after="0" w:line="240" w:lineRule="auto"/>
      </w:pPr>
      <w:r>
        <w:separator/>
      </w:r>
    </w:p>
  </w:footnote>
  <w:footnote w:type="continuationSeparator" w:id="1">
    <w:p w:rsidR="00007672" w:rsidRDefault="00007672" w:rsidP="00FE52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D2" w:rsidRPr="00FE52D2" w:rsidRDefault="00FE52D2" w:rsidP="00FE52D2">
    <w:pPr>
      <w:rPr>
        <w:rFonts w:ascii="Times New Roman" w:hAnsi="Times New Roman" w:cs="Times New Roman"/>
        <w:sz w:val="24"/>
        <w:szCs w:val="24"/>
      </w:rPr>
    </w:pPr>
    <w:r>
      <w:rPr>
        <w:rFonts w:ascii="Times New Roman" w:hAnsi="Times New Roman" w:cs="Times New Roman"/>
        <w:sz w:val="24"/>
        <w:szCs w:val="24"/>
      </w:rPr>
      <w:t>LEGAL HEALTHCARE MANAGEMENT.</w:t>
    </w:r>
    <w:r>
      <w:rPr>
        <w:rFonts w:ascii="Times New Roman" w:hAnsi="Times New Roman" w:cs="Times New Roman"/>
        <w:sz w:val="24"/>
        <w:szCs w:val="24"/>
      </w:rPr>
      <w:tab/>
    </w:r>
    <w:r w:rsidRPr="00FE52D2">
      <w:rPr>
        <w:rFonts w:ascii="Times New Roman" w:hAnsi="Times New Roman" w:cs="Times New Roman"/>
        <w:sz w:val="24"/>
        <w:szCs w:val="24"/>
      </w:rPr>
      <w:tab/>
    </w:r>
    <w:r w:rsidRPr="00FE52D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E52D2">
      <w:rPr>
        <w:rFonts w:ascii="Times New Roman" w:hAnsi="Times New Roman" w:cs="Times New Roman"/>
        <w:sz w:val="24"/>
        <w:szCs w:val="24"/>
      </w:rPr>
      <w:tab/>
    </w:r>
    <w:r w:rsidRPr="00FE52D2">
      <w:rPr>
        <w:rFonts w:ascii="Times New Roman" w:hAnsi="Times New Roman" w:cs="Times New Roman"/>
        <w:sz w:val="24"/>
        <w:szCs w:val="24"/>
      </w:rPr>
      <w:tab/>
    </w:r>
    <w:sdt>
      <w:sdtPr>
        <w:rPr>
          <w:rFonts w:ascii="Times New Roman" w:hAnsi="Times New Roman" w:cs="Times New Roman"/>
          <w:sz w:val="24"/>
          <w:szCs w:val="24"/>
        </w:rPr>
        <w:id w:val="1171450947"/>
        <w:docPartObj>
          <w:docPartGallery w:val="Page Numbers (Top of Page)"/>
          <w:docPartUnique/>
        </w:docPartObj>
      </w:sdtPr>
      <w:sdtEndPr>
        <w:rPr>
          <w:noProof/>
        </w:rPr>
      </w:sdtEndPr>
      <w:sdtContent>
        <w:r w:rsidR="00A42791" w:rsidRPr="00FE52D2">
          <w:rPr>
            <w:rFonts w:ascii="Times New Roman" w:hAnsi="Times New Roman" w:cs="Times New Roman"/>
            <w:sz w:val="24"/>
            <w:szCs w:val="24"/>
          </w:rPr>
          <w:fldChar w:fldCharType="begin"/>
        </w:r>
        <w:r w:rsidRPr="00FE52D2">
          <w:rPr>
            <w:rFonts w:ascii="Times New Roman" w:hAnsi="Times New Roman" w:cs="Times New Roman"/>
            <w:sz w:val="24"/>
            <w:szCs w:val="24"/>
          </w:rPr>
          <w:instrText xml:space="preserve"> PAGE   \* MERGEFORMAT </w:instrText>
        </w:r>
        <w:r w:rsidR="00A42791" w:rsidRPr="00FE52D2">
          <w:rPr>
            <w:rFonts w:ascii="Times New Roman" w:hAnsi="Times New Roman" w:cs="Times New Roman"/>
            <w:sz w:val="24"/>
            <w:szCs w:val="24"/>
          </w:rPr>
          <w:fldChar w:fldCharType="separate"/>
        </w:r>
        <w:r w:rsidR="00473A02">
          <w:rPr>
            <w:rFonts w:ascii="Times New Roman" w:hAnsi="Times New Roman" w:cs="Times New Roman"/>
            <w:noProof/>
            <w:sz w:val="24"/>
            <w:szCs w:val="24"/>
          </w:rPr>
          <w:t>2</w:t>
        </w:r>
        <w:r w:rsidR="00A42791" w:rsidRPr="00FE52D2">
          <w:rPr>
            <w:rFonts w:ascii="Times New Roman" w:hAnsi="Times New Roman" w:cs="Times New Roman"/>
            <w:noProof/>
            <w:sz w:val="24"/>
            <w:szCs w:val="24"/>
          </w:rPr>
          <w:fldChar w:fldCharType="end"/>
        </w:r>
      </w:sdtContent>
    </w:sdt>
  </w:p>
  <w:p w:rsidR="00FE52D2" w:rsidRPr="00FE52D2" w:rsidRDefault="00FE52D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D2" w:rsidRPr="00FE52D2" w:rsidRDefault="00FE52D2" w:rsidP="00FE52D2">
    <w:pPr>
      <w:rPr>
        <w:rFonts w:ascii="Times New Roman" w:hAnsi="Times New Roman" w:cs="Times New Roman"/>
        <w:sz w:val="24"/>
        <w:szCs w:val="24"/>
      </w:rPr>
    </w:pPr>
    <w:r w:rsidRPr="00FE52D2">
      <w:rPr>
        <w:rFonts w:ascii="Times New Roman" w:hAnsi="Times New Roman" w:cs="Times New Roman"/>
        <w:sz w:val="24"/>
        <w:szCs w:val="24"/>
      </w:rPr>
      <w:t>Running Head: LEGAL HEALTHCARE MANAGEMENT.</w:t>
    </w:r>
    <w:r w:rsidRPr="00FE52D2">
      <w:rPr>
        <w:rFonts w:ascii="Times New Roman" w:hAnsi="Times New Roman" w:cs="Times New Roman"/>
        <w:sz w:val="24"/>
        <w:szCs w:val="24"/>
      </w:rPr>
      <w:tab/>
    </w:r>
    <w:r w:rsidRPr="00FE52D2">
      <w:rPr>
        <w:rFonts w:ascii="Times New Roman" w:hAnsi="Times New Roman" w:cs="Times New Roman"/>
        <w:sz w:val="24"/>
        <w:szCs w:val="24"/>
      </w:rPr>
      <w:tab/>
    </w:r>
    <w:r w:rsidRPr="00FE52D2">
      <w:rPr>
        <w:rFonts w:ascii="Times New Roman" w:hAnsi="Times New Roman" w:cs="Times New Roman"/>
        <w:sz w:val="24"/>
        <w:szCs w:val="24"/>
      </w:rPr>
      <w:tab/>
    </w:r>
    <w:r w:rsidRPr="00FE52D2">
      <w:rPr>
        <w:rFonts w:ascii="Times New Roman" w:hAnsi="Times New Roman" w:cs="Times New Roman"/>
        <w:sz w:val="24"/>
        <w:szCs w:val="24"/>
      </w:rPr>
      <w:tab/>
    </w:r>
    <w:sdt>
      <w:sdtPr>
        <w:rPr>
          <w:rFonts w:ascii="Times New Roman" w:hAnsi="Times New Roman" w:cs="Times New Roman"/>
          <w:sz w:val="24"/>
          <w:szCs w:val="24"/>
        </w:rPr>
        <w:id w:val="-1854562851"/>
        <w:docPartObj>
          <w:docPartGallery w:val="Page Numbers (Top of Page)"/>
          <w:docPartUnique/>
        </w:docPartObj>
      </w:sdtPr>
      <w:sdtEndPr>
        <w:rPr>
          <w:noProof/>
        </w:rPr>
      </w:sdtEndPr>
      <w:sdtContent>
        <w:r w:rsidR="00A42791" w:rsidRPr="00FE52D2">
          <w:rPr>
            <w:rFonts w:ascii="Times New Roman" w:hAnsi="Times New Roman" w:cs="Times New Roman"/>
            <w:sz w:val="24"/>
            <w:szCs w:val="24"/>
          </w:rPr>
          <w:fldChar w:fldCharType="begin"/>
        </w:r>
        <w:r w:rsidRPr="00FE52D2">
          <w:rPr>
            <w:rFonts w:ascii="Times New Roman" w:hAnsi="Times New Roman" w:cs="Times New Roman"/>
            <w:sz w:val="24"/>
            <w:szCs w:val="24"/>
          </w:rPr>
          <w:instrText xml:space="preserve"> PAGE   \* MERGEFORMAT </w:instrText>
        </w:r>
        <w:r w:rsidR="00A42791" w:rsidRPr="00FE52D2">
          <w:rPr>
            <w:rFonts w:ascii="Times New Roman" w:hAnsi="Times New Roman" w:cs="Times New Roman"/>
            <w:sz w:val="24"/>
            <w:szCs w:val="24"/>
          </w:rPr>
          <w:fldChar w:fldCharType="separate"/>
        </w:r>
        <w:r w:rsidR="00473A02">
          <w:rPr>
            <w:rFonts w:ascii="Times New Roman" w:hAnsi="Times New Roman" w:cs="Times New Roman"/>
            <w:noProof/>
            <w:sz w:val="24"/>
            <w:szCs w:val="24"/>
          </w:rPr>
          <w:t>1</w:t>
        </w:r>
        <w:r w:rsidR="00A42791" w:rsidRPr="00FE52D2">
          <w:rPr>
            <w:rFonts w:ascii="Times New Roman" w:hAnsi="Times New Roman" w:cs="Times New Roman"/>
            <w:noProof/>
            <w:sz w:val="24"/>
            <w:szCs w:val="24"/>
          </w:rPr>
          <w:fldChar w:fldCharType="end"/>
        </w:r>
      </w:sdtContent>
    </w:sdt>
  </w:p>
  <w:p w:rsidR="00FE52D2" w:rsidRPr="00FE52D2" w:rsidRDefault="00FE52D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5CBE"/>
    <w:rsid w:val="00007672"/>
    <w:rsid w:val="000411CF"/>
    <w:rsid w:val="00274169"/>
    <w:rsid w:val="002A4CAC"/>
    <w:rsid w:val="002B63B5"/>
    <w:rsid w:val="00404E61"/>
    <w:rsid w:val="00473A02"/>
    <w:rsid w:val="005C3903"/>
    <w:rsid w:val="00692A60"/>
    <w:rsid w:val="00716130"/>
    <w:rsid w:val="00A134A1"/>
    <w:rsid w:val="00A26C69"/>
    <w:rsid w:val="00A42791"/>
    <w:rsid w:val="00BC7D43"/>
    <w:rsid w:val="00CD757F"/>
    <w:rsid w:val="00D2038B"/>
    <w:rsid w:val="00DE0E24"/>
    <w:rsid w:val="00DF11A9"/>
    <w:rsid w:val="00E35CBE"/>
    <w:rsid w:val="00E67C8E"/>
    <w:rsid w:val="00E94C9F"/>
    <w:rsid w:val="00EE0DD3"/>
    <w:rsid w:val="00EF4D96"/>
    <w:rsid w:val="00FE5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C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2D2"/>
  </w:style>
  <w:style w:type="paragraph" w:styleId="Footer">
    <w:name w:val="footer"/>
    <w:basedOn w:val="Normal"/>
    <w:link w:val="FooterChar"/>
    <w:uiPriority w:val="99"/>
    <w:unhideWhenUsed/>
    <w:rsid w:val="00FE5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2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2018-08-06T17:41:00Z</dcterms:created>
  <dcterms:modified xsi:type="dcterms:W3CDTF">2018-08-06T17:41:00Z</dcterms:modified>
</cp:coreProperties>
</file>